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43" w:rsidRDefault="00173C43" w:rsidP="00173C43">
      <w:pPr>
        <w:jc w:val="both"/>
        <w:rPr>
          <w:rFonts w:ascii="Helvetica" w:hAnsi="Helvetica" w:cs="Helvetica"/>
          <w:color w:val="757575"/>
          <w:sz w:val="21"/>
          <w:szCs w:val="21"/>
        </w:rPr>
      </w:pPr>
      <w:r>
        <w:rPr>
          <w:rStyle w:val="Strong"/>
          <w:rFonts w:ascii="Arial" w:hAnsi="Arial" w:cs="Arial"/>
          <w:color w:val="FFFFFF"/>
          <w:shd w:val="clear" w:color="auto" w:fill="106F2F"/>
        </w:rPr>
        <w:t>18-Oct-22 </w:t>
      </w:r>
      <w:r>
        <w:rPr>
          <w:rStyle w:val="Strong"/>
          <w:rFonts w:ascii="Arial" w:hAnsi="Arial" w:cs="Arial"/>
          <w:color w:val="06168F"/>
          <w:shd w:val="clear" w:color="auto" w:fill="106F2F"/>
        </w:rPr>
        <w:t> </w:t>
      </w:r>
      <w:r>
        <w:rPr>
          <w:rStyle w:val="Strong"/>
          <w:rFonts w:ascii="Arial" w:hAnsi="Arial" w:cs="Arial"/>
          <w:color w:val="106F2F"/>
        </w:rPr>
        <w:t>  ES-02: Mean Carbon Emissions Per Salbutamol Inhaler Prescribed (kg CO2e) </w:t>
      </w:r>
      <w:r>
        <w:rPr>
          <w:rFonts w:ascii="Helvetica" w:hAnsi="Helvetica" w:cs="Helvetica"/>
          <w:color w:val="106F2F"/>
        </w:rPr>
        <w:br/>
      </w:r>
      <w:r>
        <w:rPr>
          <w:rStyle w:val="Emphasis"/>
          <w:rFonts w:ascii="Helvetica" w:hAnsi="Helvetica" w:cs="Helvetica"/>
          <w:color w:val="106F2F"/>
        </w:rPr>
        <w:t xml:space="preserve">Sent on behalf of Vasu </w:t>
      </w:r>
      <w:proofErr w:type="spellStart"/>
      <w:r>
        <w:rPr>
          <w:rStyle w:val="Emphasis"/>
          <w:rFonts w:ascii="Helvetica" w:hAnsi="Helvetica" w:cs="Helvetica"/>
          <w:color w:val="106F2F"/>
        </w:rPr>
        <w:t>Siva,</w:t>
      </w:r>
      <w:proofErr w:type="spellEnd"/>
      <w:r>
        <w:rPr>
          <w:rStyle w:val="Emphasis"/>
          <w:rFonts w:ascii="Helvetica" w:hAnsi="Helvetica" w:cs="Helvetica"/>
          <w:color w:val="106F2F"/>
        </w:rPr>
        <w:t xml:space="preserve"> GP Partner &amp; Clinical Lead for Green Agenda</w:t>
      </w:r>
      <w:r>
        <w:rPr>
          <w:rFonts w:ascii="Helvetica" w:hAnsi="Helvetica" w:cs="Helvetica"/>
          <w:color w:val="757575"/>
          <w:sz w:val="21"/>
          <w:szCs w:val="21"/>
        </w:rPr>
        <w:t xml:space="preserve"> </w:t>
      </w:r>
    </w:p>
    <w:p w:rsidR="00173C43" w:rsidRDefault="00173C43" w:rsidP="00173C43">
      <w:pPr>
        <w:spacing w:before="150" w:after="150"/>
        <w:rPr>
          <w:rFonts w:ascii="Helvetica" w:hAnsi="Helvetica" w:cs="Helvetica"/>
          <w:color w:val="757575"/>
          <w:sz w:val="21"/>
          <w:szCs w:val="21"/>
        </w:rPr>
      </w:pPr>
      <w:r>
        <w:rPr>
          <w:rFonts w:ascii="Arial" w:hAnsi="Arial" w:cs="Arial"/>
          <w:color w:val="000000"/>
          <w:sz w:val="21"/>
          <w:szCs w:val="21"/>
        </w:rPr>
        <w:t>Dear Colleagues,</w:t>
      </w:r>
      <w:r>
        <w:rPr>
          <w:rFonts w:ascii="Helvetica" w:hAnsi="Helvetica" w:cs="Helvetica"/>
          <w:color w:val="757575"/>
          <w:sz w:val="21"/>
          <w:szCs w:val="21"/>
        </w:rPr>
        <w:br/>
      </w:r>
      <w:r>
        <w:rPr>
          <w:rFonts w:ascii="Helvetica" w:hAnsi="Helvetica" w:cs="Helvetica"/>
          <w:color w:val="757575"/>
          <w:sz w:val="21"/>
          <w:szCs w:val="21"/>
        </w:rPr>
        <w:br/>
      </w:r>
      <w:r>
        <w:rPr>
          <w:rFonts w:ascii="Arial" w:hAnsi="Arial" w:cs="Arial"/>
          <w:color w:val="000000"/>
          <w:sz w:val="21"/>
          <w:szCs w:val="21"/>
        </w:rPr>
        <w:t>Salbutamol MDIs are the single biggest source of carbon emissions from NHS medicines prescribing. Where a salbutamol inhaler is required, this indicator encourages PCNs to consider prescribing a lower carbon option. This does not necessarily mean changing the type of inhaler that the patient receives (e.g. MDI to DPI), since different salbutamol MDI inhalers can have different carbon emissions. If MDI is required for the patient, for instance when DPI is not indicated, prescribing a lower carbon salbutamol MDI will reduce overall carbon emissions without compromising patient safety or disease control.</w:t>
      </w:r>
      <w:r>
        <w:rPr>
          <w:rFonts w:ascii="Arial" w:hAnsi="Arial" w:cs="Arial"/>
          <w:color w:val="000000"/>
          <w:sz w:val="21"/>
          <w:szCs w:val="21"/>
        </w:rPr>
        <w:br/>
        <w:t> </w:t>
      </w:r>
      <w:r>
        <w:rPr>
          <w:rFonts w:ascii="Arial" w:hAnsi="Arial" w:cs="Arial"/>
          <w:color w:val="000000"/>
          <w:sz w:val="21"/>
          <w:szCs w:val="21"/>
        </w:rPr>
        <w:br/>
        <w:t>Efforts made towards meeting this indicator should also be complementary in helping to meet asthma and COPD indicators in the QOF.</w:t>
      </w:r>
      <w:r>
        <w:rPr>
          <w:rFonts w:ascii="Arial" w:hAnsi="Arial" w:cs="Arial"/>
          <w:color w:val="000000"/>
          <w:sz w:val="21"/>
          <w:szCs w:val="21"/>
        </w:rPr>
        <w:br/>
        <w:t> </w:t>
      </w:r>
      <w:r>
        <w:rPr>
          <w:rFonts w:ascii="Arial" w:hAnsi="Arial" w:cs="Arial"/>
          <w:color w:val="000000"/>
          <w:sz w:val="21"/>
          <w:szCs w:val="21"/>
        </w:rPr>
        <w:br/>
        <w:t>This week, the focus is on how to safely switch high carbon inhalers to lower carbon inhalers, in particular when prescribing salbutamol MDI inhalers.</w:t>
      </w:r>
      <w:r>
        <w:rPr>
          <w:rFonts w:ascii="Arial" w:hAnsi="Arial" w:cs="Arial"/>
          <w:color w:val="000000"/>
          <w:sz w:val="21"/>
          <w:szCs w:val="21"/>
        </w:rPr>
        <w:br/>
        <w:t> </w:t>
      </w:r>
    </w:p>
    <w:tbl>
      <w:tblPr>
        <w:tblW w:w="9000" w:type="dxa"/>
        <w:tblCellMar>
          <w:left w:w="0" w:type="dxa"/>
          <w:right w:w="0" w:type="dxa"/>
        </w:tblCellMar>
        <w:tblLook w:val="04A0" w:firstRow="1" w:lastRow="0" w:firstColumn="1" w:lastColumn="0" w:noHBand="0" w:noVBand="1"/>
      </w:tblPr>
      <w:tblGrid>
        <w:gridCol w:w="4498"/>
        <w:gridCol w:w="4502"/>
      </w:tblGrid>
      <w:tr w:rsidR="00173C43" w:rsidTr="00173C43">
        <w:tc>
          <w:tcPr>
            <w:tcW w:w="9015" w:type="dxa"/>
            <w:gridSpan w:val="2"/>
            <w:tcBorders>
              <w:top w:val="outset" w:sz="8" w:space="0" w:color="auto"/>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ACTIVITY: Environmental sustainability (ES 02)</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What is the activity?</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1"/>
              </w:numPr>
              <w:spacing w:before="100" w:beforeAutospacing="1" w:after="100" w:afterAutospacing="1"/>
              <w:rPr>
                <w:rFonts w:eastAsia="Times New Roman"/>
              </w:rPr>
            </w:pPr>
            <w:r>
              <w:rPr>
                <w:rFonts w:ascii="Arial" w:eastAsia="Times New Roman" w:hAnsi="Arial" w:cs="Arial"/>
                <w:color w:val="000000"/>
                <w:sz w:val="21"/>
                <w:szCs w:val="21"/>
              </w:rPr>
              <w:t xml:space="preserve">When prescribing salbutamol MDI inhalers, prescribe lower carbon emission inhalers (kg CO2e per inhaler). For example, </w:t>
            </w:r>
            <w:proofErr w:type="spellStart"/>
            <w:r>
              <w:rPr>
                <w:rFonts w:ascii="Arial" w:eastAsia="Times New Roman" w:hAnsi="Arial" w:cs="Arial"/>
                <w:color w:val="000000"/>
                <w:sz w:val="21"/>
                <w:szCs w:val="21"/>
              </w:rPr>
              <w:t>Salamol</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pMDI</w:t>
            </w:r>
            <w:proofErr w:type="spellEnd"/>
            <w:r>
              <w:rPr>
                <w:rFonts w:ascii="Arial" w:eastAsia="Times New Roman" w:hAnsi="Arial" w:cs="Arial"/>
                <w:color w:val="000000"/>
                <w:sz w:val="21"/>
                <w:szCs w:val="21"/>
              </w:rPr>
              <w:t xml:space="preserve"> (11.95) instead of Ventolin </w:t>
            </w:r>
            <w:proofErr w:type="spellStart"/>
            <w:r>
              <w:rPr>
                <w:rFonts w:ascii="Arial" w:eastAsia="Times New Roman" w:hAnsi="Arial" w:cs="Arial"/>
                <w:color w:val="000000"/>
                <w:sz w:val="21"/>
                <w:szCs w:val="21"/>
              </w:rPr>
              <w:t>Evohaler</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pMDI</w:t>
            </w:r>
            <w:proofErr w:type="spellEnd"/>
            <w:r>
              <w:rPr>
                <w:rFonts w:ascii="Arial" w:eastAsia="Times New Roman" w:hAnsi="Arial" w:cs="Arial"/>
                <w:color w:val="000000"/>
                <w:sz w:val="21"/>
                <w:szCs w:val="21"/>
              </w:rPr>
              <w:t xml:space="preserve"> (28.26)</w:t>
            </w:r>
          </w:p>
          <w:p w:rsidR="00173C43" w:rsidRDefault="00173C43">
            <w:pPr>
              <w:numPr>
                <w:ilvl w:val="0"/>
                <w:numId w:val="1"/>
              </w:numPr>
              <w:spacing w:before="100" w:beforeAutospacing="1" w:after="100" w:afterAutospacing="1"/>
              <w:rPr>
                <w:rFonts w:eastAsia="Times New Roman"/>
              </w:rPr>
            </w:pPr>
            <w:r>
              <w:rPr>
                <w:rStyle w:val="Emphasis"/>
                <w:rFonts w:ascii="Arial" w:eastAsia="Times New Roman" w:hAnsi="Arial" w:cs="Arial"/>
                <w:color w:val="000000"/>
                <w:sz w:val="21"/>
                <w:szCs w:val="21"/>
              </w:rPr>
              <w:t xml:space="preserve">(Volumatic spacer device is compatible with </w:t>
            </w:r>
            <w:proofErr w:type="spellStart"/>
            <w:r>
              <w:rPr>
                <w:rStyle w:val="Emphasis"/>
                <w:rFonts w:ascii="Arial" w:eastAsia="Times New Roman" w:hAnsi="Arial" w:cs="Arial"/>
                <w:color w:val="000000"/>
                <w:sz w:val="21"/>
                <w:szCs w:val="21"/>
              </w:rPr>
              <w:t>Salamol</w:t>
            </w:r>
            <w:proofErr w:type="spellEnd"/>
            <w:r>
              <w:rPr>
                <w:rStyle w:val="Emphasis"/>
                <w:rFonts w:ascii="Arial" w:eastAsia="Times New Roman" w:hAnsi="Arial" w:cs="Arial"/>
                <w:color w:val="000000"/>
                <w:sz w:val="21"/>
                <w:szCs w:val="21"/>
              </w:rPr>
              <w:t xml:space="preserve"> </w:t>
            </w:r>
            <w:proofErr w:type="spellStart"/>
            <w:r>
              <w:rPr>
                <w:rStyle w:val="Emphasis"/>
                <w:rFonts w:ascii="Arial" w:eastAsia="Times New Roman" w:hAnsi="Arial" w:cs="Arial"/>
                <w:color w:val="000000"/>
                <w:sz w:val="21"/>
                <w:szCs w:val="21"/>
              </w:rPr>
              <w:t>pMDI</w:t>
            </w:r>
            <w:proofErr w:type="spellEnd"/>
            <w:r>
              <w:rPr>
                <w:rStyle w:val="Emphasis"/>
                <w:rFonts w:ascii="Arial" w:eastAsia="Times New Roman" w:hAnsi="Arial" w:cs="Arial"/>
                <w:color w:val="000000"/>
                <w:sz w:val="21"/>
                <w:szCs w:val="21"/>
              </w:rPr>
              <w:t>)</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 xml:space="preserve">What are the benefits of the activity? </w:t>
            </w:r>
            <w:r>
              <w:rPr>
                <w:rFonts w:ascii="Arial" w:hAnsi="Arial" w:cs="Arial"/>
                <w:color w:val="000000"/>
                <w:sz w:val="21"/>
                <w:szCs w:val="21"/>
              </w:rPr>
              <w:br/>
            </w:r>
            <w:r>
              <w:rPr>
                <w:rStyle w:val="Strong"/>
                <w:rFonts w:ascii="Arial" w:hAnsi="Arial" w:cs="Arial"/>
                <w:color w:val="000000"/>
                <w:sz w:val="21"/>
                <w:szCs w:val="21"/>
              </w:rPr>
              <w:t>(GP surgery, staff, patients, community, environment)</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Same medicine &amp; device, but lower carbon footprint without compromising patient safety or disease control</w:t>
            </w:r>
          </w:p>
          <w:p w:rsidR="00173C43" w:rsidRDefault="00173C43">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Reduces overall carbon emissions</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How to carry out the activity?</w:t>
            </w:r>
            <w:r>
              <w:rPr>
                <w:rFonts w:ascii="Arial" w:hAnsi="Arial" w:cs="Arial"/>
                <w:color w:val="000000"/>
                <w:sz w:val="21"/>
                <w:szCs w:val="21"/>
              </w:rPr>
              <w:br/>
              <w:t> </w:t>
            </w:r>
            <w:r>
              <w:rPr>
                <w:rFonts w:ascii="Arial" w:hAnsi="Arial" w:cs="Arial"/>
                <w:color w:val="000000"/>
                <w:sz w:val="21"/>
                <w:szCs w:val="21"/>
              </w:rPr>
              <w:br/>
            </w:r>
            <w:proofErr w:type="spellStart"/>
            <w:r>
              <w:rPr>
                <w:rStyle w:val="Strong"/>
                <w:rFonts w:ascii="Arial" w:hAnsi="Arial" w:cs="Arial"/>
                <w:color w:val="000000"/>
                <w:sz w:val="21"/>
                <w:szCs w:val="21"/>
              </w:rPr>
              <w:t>Ardens</w:t>
            </w:r>
            <w:proofErr w:type="spellEnd"/>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Ealing GP Fed</w:t>
            </w:r>
            <w:r>
              <w:rPr>
                <w:rFonts w:ascii="Arial" w:hAnsi="Arial" w:cs="Arial"/>
                <w:color w:val="000000"/>
                <w:sz w:val="21"/>
                <w:szCs w:val="21"/>
              </w:rPr>
              <w:br/>
              <w:t> </w:t>
            </w:r>
            <w: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3"/>
              </w:numPr>
              <w:spacing w:before="100" w:beforeAutospacing="1" w:after="100" w:afterAutospacing="1"/>
              <w:rPr>
                <w:rFonts w:eastAsia="Times New Roman"/>
              </w:rPr>
            </w:pPr>
            <w:r>
              <w:rPr>
                <w:rFonts w:ascii="Arial" w:eastAsia="Times New Roman" w:hAnsi="Arial" w:cs="Arial"/>
                <w:color w:val="000000"/>
                <w:sz w:val="21"/>
                <w:szCs w:val="21"/>
              </w:rPr>
              <w:t xml:space="preserve">Create a list of patients aged 12yrs &amp; over with asthma on repeat prescription for Ventolin </w:t>
            </w:r>
            <w:proofErr w:type="spellStart"/>
            <w:r>
              <w:rPr>
                <w:rFonts w:ascii="Arial" w:eastAsia="Times New Roman" w:hAnsi="Arial" w:cs="Arial"/>
                <w:color w:val="000000"/>
                <w:sz w:val="21"/>
                <w:szCs w:val="21"/>
              </w:rPr>
              <w:t>Evohaler</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pMDI</w:t>
            </w:r>
            <w:proofErr w:type="spellEnd"/>
            <w:r>
              <w:rPr>
                <w:rFonts w:ascii="Arial" w:eastAsia="Times New Roman" w:hAnsi="Arial" w:cs="Arial"/>
                <w:color w:val="000000"/>
                <w:sz w:val="21"/>
                <w:szCs w:val="21"/>
              </w:rPr>
              <w:t xml:space="preserve"> (do make use of the searches created by </w:t>
            </w:r>
            <w:proofErr w:type="spellStart"/>
            <w:r>
              <w:rPr>
                <w:rFonts w:ascii="Arial" w:eastAsia="Times New Roman" w:hAnsi="Arial" w:cs="Arial"/>
                <w:color w:val="000000"/>
                <w:sz w:val="21"/>
                <w:szCs w:val="21"/>
              </w:rPr>
              <w:t>Ardens</w:t>
            </w:r>
            <w:proofErr w:type="spellEnd"/>
            <w:r>
              <w:rPr>
                <w:rFonts w:ascii="Arial" w:eastAsia="Times New Roman" w:hAnsi="Arial" w:cs="Arial"/>
                <w:color w:val="000000"/>
                <w:sz w:val="21"/>
                <w:szCs w:val="21"/>
              </w:rPr>
              <w:t xml:space="preserve"> or Ealing GP Fed)</w:t>
            </w:r>
          </w:p>
          <w:p w:rsidR="00173C43" w:rsidRDefault="00173C43">
            <w:pPr>
              <w:numPr>
                <w:ilvl w:val="0"/>
                <w:numId w:val="3"/>
              </w:numPr>
              <w:spacing w:before="100" w:beforeAutospacing="1" w:after="100" w:afterAutospacing="1"/>
              <w:rPr>
                <w:rFonts w:eastAsia="Times New Roman"/>
              </w:rPr>
            </w:pPr>
            <w:r>
              <w:rPr>
                <w:rFonts w:ascii="Arial" w:eastAsia="Times New Roman" w:hAnsi="Arial" w:cs="Arial"/>
                <w:color w:val="000000"/>
                <w:sz w:val="21"/>
                <w:szCs w:val="21"/>
              </w:rPr>
              <w:t xml:space="preserve">Contact all patients on the list (e.g. via MJOG) with explanation of change &amp; </w:t>
            </w:r>
            <w:hyperlink r:id="rId5" w:history="1">
              <w:r>
                <w:rPr>
                  <w:rStyle w:val="Hyperlink"/>
                  <w:rFonts w:ascii="Arial" w:eastAsia="Times New Roman" w:hAnsi="Arial" w:cs="Arial"/>
                  <w:sz w:val="21"/>
                  <w:szCs w:val="21"/>
                </w:rPr>
                <w:t>Patient Information Leaflet</w:t>
              </w:r>
            </w:hyperlink>
          </w:p>
          <w:p w:rsidR="00173C43" w:rsidRDefault="00173C43">
            <w:r>
              <w:rPr>
                <w:rFonts w:ascii="Arial" w:hAnsi="Arial" w:cs="Arial"/>
                <w:color w:val="000000"/>
                <w:sz w:val="21"/>
                <w:szCs w:val="21"/>
              </w:rPr>
              <w:t> </w:t>
            </w:r>
            <w:r>
              <w:t xml:space="preserve"> </w:t>
            </w:r>
          </w:p>
          <w:p w:rsidR="00173C43" w:rsidRDefault="00173C43">
            <w:pPr>
              <w:numPr>
                <w:ilvl w:val="0"/>
                <w:numId w:val="4"/>
              </w:numPr>
              <w:spacing w:before="100" w:beforeAutospacing="1" w:after="100" w:afterAutospacing="1"/>
              <w:rPr>
                <w:rFonts w:eastAsia="Times New Roman"/>
              </w:rPr>
            </w:pPr>
            <w:r>
              <w:rPr>
                <w:rFonts w:ascii="Arial" w:eastAsia="Times New Roman" w:hAnsi="Arial" w:cs="Arial"/>
                <w:color w:val="000000"/>
                <w:sz w:val="21"/>
                <w:szCs w:val="21"/>
              </w:rPr>
              <w:t>Send a follow-up SMS to all patients 4-6 weeks after the change to encourage patients having issues to get in touch</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How would this be measured?</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5"/>
              </w:numPr>
              <w:spacing w:before="100" w:beforeAutospacing="1" w:after="100" w:afterAutospacing="1"/>
              <w:rPr>
                <w:rFonts w:eastAsia="Times New Roman"/>
              </w:rPr>
            </w:pPr>
            <w:r>
              <w:rPr>
                <w:rFonts w:ascii="Arial" w:eastAsia="Times New Roman" w:hAnsi="Arial" w:cs="Arial"/>
                <w:color w:val="000000"/>
                <w:sz w:val="21"/>
                <w:szCs w:val="21"/>
              </w:rPr>
              <w:t>Monitor your progress by repeating the searches</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lastRenderedPageBreak/>
              <w:t>What are the benefits/award once you have completed the activity? </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6"/>
              </w:numPr>
              <w:spacing w:before="100" w:beforeAutospacing="1" w:after="100" w:afterAutospacing="1"/>
              <w:rPr>
                <w:rFonts w:eastAsia="Times New Roman"/>
              </w:rPr>
            </w:pPr>
            <w:r>
              <w:rPr>
                <w:rFonts w:ascii="Arial" w:eastAsia="Times New Roman" w:hAnsi="Arial" w:cs="Arial"/>
                <w:color w:val="000000"/>
                <w:sz w:val="21"/>
                <w:szCs w:val="21"/>
              </w:rPr>
              <w:t>IIF 2022/23 ES 02 activity completed &amp; financial benefits</w:t>
            </w:r>
          </w:p>
          <w:p w:rsidR="00173C43" w:rsidRDefault="00173C43">
            <w:pPr>
              <w:numPr>
                <w:ilvl w:val="0"/>
                <w:numId w:val="6"/>
              </w:numPr>
              <w:spacing w:before="100" w:beforeAutospacing="1" w:after="100" w:afterAutospacing="1"/>
              <w:rPr>
                <w:rFonts w:eastAsia="Times New Roman"/>
              </w:rPr>
            </w:pPr>
            <w:r>
              <w:rPr>
                <w:rFonts w:ascii="Arial" w:eastAsia="Times New Roman" w:hAnsi="Arial" w:cs="Arial"/>
                <w:color w:val="000000"/>
                <w:sz w:val="21"/>
                <w:szCs w:val="21"/>
              </w:rPr>
              <w:t>Sustainable environment &amp; NHS</w:t>
            </w:r>
          </w:p>
        </w:tc>
      </w:tr>
      <w:tr w:rsidR="00173C43" w:rsidTr="00173C43">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173C43" w:rsidRDefault="00173C43">
            <w:r>
              <w:rPr>
                <w:rStyle w:val="Strong"/>
                <w:rFonts w:ascii="Arial" w:hAnsi="Arial" w:cs="Arial"/>
                <w:color w:val="000000"/>
                <w:sz w:val="21"/>
                <w:szCs w:val="21"/>
              </w:rPr>
              <w:t>How will this be reported?</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173C43" w:rsidRDefault="00173C43">
            <w:pPr>
              <w:numPr>
                <w:ilvl w:val="0"/>
                <w:numId w:val="7"/>
              </w:numPr>
              <w:spacing w:before="100" w:beforeAutospacing="1" w:after="100" w:afterAutospacing="1"/>
              <w:rPr>
                <w:rFonts w:eastAsia="Times New Roman"/>
              </w:rPr>
            </w:pPr>
            <w:r>
              <w:rPr>
                <w:rFonts w:ascii="Arial" w:eastAsia="Times New Roman" w:hAnsi="Arial" w:cs="Arial"/>
                <w:color w:val="000000"/>
                <w:sz w:val="21"/>
                <w:szCs w:val="21"/>
              </w:rPr>
              <w:t>Achievement of the IIF targets</w:t>
            </w:r>
          </w:p>
        </w:tc>
      </w:tr>
    </w:tbl>
    <w:p w:rsidR="00EF0FA8" w:rsidRDefault="00173C43">
      <w:r>
        <w:rPr>
          <w:rFonts w:ascii="Arial" w:hAnsi="Arial" w:cs="Arial"/>
          <w:color w:val="000000"/>
          <w:sz w:val="21"/>
          <w:szCs w:val="21"/>
        </w:rPr>
        <w:t> </w:t>
      </w:r>
      <w:r>
        <w:rPr>
          <w:rFonts w:ascii="Arial" w:hAnsi="Arial" w:cs="Arial"/>
          <w:color w:val="000000"/>
          <w:sz w:val="21"/>
          <w:szCs w:val="21"/>
        </w:rPr>
        <w:br/>
      </w:r>
      <w:r>
        <w:rPr>
          <w:rStyle w:val="Strong"/>
          <w:rFonts w:ascii="Arial" w:hAnsi="Arial" w:cs="Arial"/>
          <w:color w:val="000000"/>
          <w:sz w:val="21"/>
          <w:szCs w:val="21"/>
        </w:rPr>
        <w:t>Helpful Resources:</w:t>
      </w:r>
      <w:r>
        <w:rPr>
          <w:rFonts w:ascii="Arial" w:hAnsi="Arial" w:cs="Arial"/>
          <w:color w:val="000000"/>
          <w:sz w:val="21"/>
          <w:szCs w:val="21"/>
        </w:rPr>
        <w:br/>
        <w:t> </w:t>
      </w:r>
      <w:r>
        <w:rPr>
          <w:rFonts w:ascii="Arial" w:hAnsi="Arial" w:cs="Arial"/>
          <w:color w:val="757575"/>
          <w:sz w:val="21"/>
          <w:szCs w:val="21"/>
        </w:rPr>
        <w:br/>
      </w:r>
      <w:hyperlink r:id="rId6" w:history="1">
        <w:r>
          <w:rPr>
            <w:rStyle w:val="Hyperlink"/>
            <w:rFonts w:ascii="Arial" w:hAnsi="Arial" w:cs="Arial"/>
            <w:sz w:val="21"/>
            <w:szCs w:val="21"/>
          </w:rPr>
          <w:t>Device choice</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7" w:history="1">
        <w:r>
          <w:rPr>
            <w:rStyle w:val="Hyperlink"/>
            <w:rFonts w:ascii="Arial" w:hAnsi="Arial" w:cs="Arial"/>
            <w:sz w:val="21"/>
            <w:szCs w:val="21"/>
          </w:rPr>
          <w:t>Salamol Poster</w:t>
        </w:r>
      </w:hyperlink>
      <w:r>
        <w:rPr>
          <w:rFonts w:ascii="Arial" w:hAnsi="Arial" w:cs="Arial"/>
          <w:color w:val="0000FF"/>
          <w:sz w:val="21"/>
          <w:szCs w:val="21"/>
        </w:rPr>
        <w:t>:</w:t>
      </w:r>
      <w:r>
        <w:rPr>
          <w:rFonts w:ascii="Arial" w:hAnsi="Arial" w:cs="Arial"/>
          <w:color w:val="000000"/>
          <w:sz w:val="21"/>
          <w:szCs w:val="21"/>
        </w:rPr>
        <w:t xml:space="preserve"> Inform patients of the reasons for the change of inhalers</w:t>
      </w:r>
      <w:r>
        <w:rPr>
          <w:rFonts w:ascii="Arial" w:hAnsi="Arial" w:cs="Arial"/>
          <w:color w:val="000000"/>
          <w:sz w:val="21"/>
          <w:szCs w:val="21"/>
        </w:rPr>
        <w:br/>
        <w:t> </w:t>
      </w:r>
      <w:r>
        <w:rPr>
          <w:rFonts w:ascii="Arial" w:hAnsi="Arial" w:cs="Arial"/>
          <w:color w:val="757575"/>
          <w:sz w:val="21"/>
          <w:szCs w:val="21"/>
        </w:rPr>
        <w:br/>
      </w:r>
      <w:hyperlink r:id="rId8" w:history="1">
        <w:r>
          <w:rPr>
            <w:rStyle w:val="Hyperlink"/>
            <w:rFonts w:ascii="Arial" w:hAnsi="Arial" w:cs="Arial"/>
            <w:sz w:val="21"/>
            <w:szCs w:val="21"/>
          </w:rPr>
          <w:t>Disposal of inhalers</w:t>
        </w:r>
      </w:hyperlink>
      <w:r>
        <w:rPr>
          <w:rFonts w:ascii="Arial" w:hAnsi="Arial" w:cs="Arial"/>
          <w:color w:val="0000FF"/>
          <w:sz w:val="21"/>
          <w:szCs w:val="21"/>
        </w:rPr>
        <w:t>:</w:t>
      </w:r>
      <w:r>
        <w:rPr>
          <w:rFonts w:ascii="Arial" w:hAnsi="Arial" w:cs="Arial"/>
          <w:color w:val="000000"/>
          <w:sz w:val="21"/>
          <w:szCs w:val="21"/>
        </w:rPr>
        <w:t xml:space="preserve"> Inform patients to return inhalers to their pharmacy</w:t>
      </w:r>
      <w:r>
        <w:rPr>
          <w:rFonts w:ascii="Arial" w:hAnsi="Arial" w:cs="Arial"/>
          <w:color w:val="000000"/>
          <w:sz w:val="21"/>
          <w:szCs w:val="21"/>
        </w:rPr>
        <w:br/>
        <w:t> </w:t>
      </w:r>
      <w:r>
        <w:rPr>
          <w:rFonts w:ascii="Arial" w:hAnsi="Arial" w:cs="Arial"/>
          <w:color w:val="757575"/>
          <w:sz w:val="21"/>
          <w:szCs w:val="21"/>
        </w:rPr>
        <w:br/>
      </w:r>
      <w:hyperlink r:id="rId9" w:history="1">
        <w:r>
          <w:rPr>
            <w:rStyle w:val="Hyperlink"/>
            <w:rFonts w:ascii="Arial" w:hAnsi="Arial" w:cs="Arial"/>
            <w:sz w:val="21"/>
            <w:szCs w:val="21"/>
          </w:rPr>
          <w:t>Ventolin Evohaler pMDI to Salamol pMDI</w:t>
        </w:r>
      </w:hyperlink>
      <w:r>
        <w:rPr>
          <w:rFonts w:ascii="Arial" w:hAnsi="Arial" w:cs="Arial"/>
          <w:color w:val="757575"/>
          <w:sz w:val="21"/>
          <w:szCs w:val="21"/>
        </w:rPr>
        <w:br/>
      </w:r>
      <w:r>
        <w:rPr>
          <w:rFonts w:ascii="Arial" w:hAnsi="Arial" w:cs="Arial"/>
          <w:color w:val="000000"/>
          <w:sz w:val="21"/>
          <w:szCs w:val="21"/>
        </w:rPr>
        <w:t> </w:t>
      </w:r>
      <w:r>
        <w:rPr>
          <w:rFonts w:ascii="Arial" w:hAnsi="Arial" w:cs="Arial"/>
          <w:color w:val="757575"/>
          <w:sz w:val="21"/>
          <w:szCs w:val="21"/>
        </w:rPr>
        <w:br/>
      </w:r>
      <w:hyperlink r:id="rId10" w:history="1">
        <w:r>
          <w:rPr>
            <w:rStyle w:val="Hyperlink"/>
            <w:rFonts w:ascii="Arial" w:hAnsi="Arial" w:cs="Arial"/>
            <w:sz w:val="21"/>
            <w:szCs w:val="21"/>
          </w:rPr>
          <w:t>Short videos</w:t>
        </w:r>
      </w:hyperlink>
      <w:r>
        <w:rPr>
          <w:rFonts w:ascii="Arial" w:hAnsi="Arial" w:cs="Arial"/>
          <w:color w:val="0000FF"/>
          <w:sz w:val="21"/>
          <w:szCs w:val="21"/>
        </w:rPr>
        <w:t xml:space="preserve">: </w:t>
      </w:r>
      <w:r>
        <w:rPr>
          <w:rFonts w:ascii="Arial" w:hAnsi="Arial" w:cs="Arial"/>
          <w:color w:val="000000"/>
          <w:sz w:val="21"/>
          <w:szCs w:val="21"/>
        </w:rPr>
        <w:t>Refresh your knowledge of asthma diagnosis, how to optimise disease control, low carbon inhaler prescribing, inhaler disposal and how to integrate al</w:t>
      </w:r>
      <w:r>
        <w:rPr>
          <w:rFonts w:ascii="Arial" w:hAnsi="Arial" w:cs="Arial"/>
          <w:color w:val="000000"/>
          <w:sz w:val="21"/>
          <w:szCs w:val="21"/>
        </w:rPr>
        <w:t>l of these in an asthma review</w:t>
      </w:r>
      <w:r>
        <w:rPr>
          <w:rFonts w:ascii="Arial" w:hAnsi="Arial" w:cs="Arial"/>
          <w:color w:val="000000"/>
          <w:sz w:val="21"/>
          <w:szCs w:val="21"/>
        </w:rPr>
        <w:br/>
      </w:r>
      <w:bookmarkStart w:id="0" w:name="_GoBack"/>
      <w:bookmarkEnd w:id="0"/>
    </w:p>
    <w:sectPr w:rsidR="00EF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423"/>
    <w:multiLevelType w:val="multilevel"/>
    <w:tmpl w:val="80781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7603C"/>
    <w:multiLevelType w:val="multilevel"/>
    <w:tmpl w:val="590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C5FA6"/>
    <w:multiLevelType w:val="multilevel"/>
    <w:tmpl w:val="6670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C748F"/>
    <w:multiLevelType w:val="multilevel"/>
    <w:tmpl w:val="C8285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C1AB6"/>
    <w:multiLevelType w:val="multilevel"/>
    <w:tmpl w:val="BDE6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F7B6E"/>
    <w:multiLevelType w:val="multilevel"/>
    <w:tmpl w:val="D90C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C7CB7"/>
    <w:multiLevelType w:val="multilevel"/>
    <w:tmpl w:val="76B46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3"/>
    <w:rsid w:val="00173C43"/>
    <w:rsid w:val="00EF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AA55"/>
  <w15:chartTrackingRefBased/>
  <w15:docId w15:val="{89B06BF3-4F59-4225-B424-A9B950D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4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C43"/>
    <w:rPr>
      <w:color w:val="0000FF"/>
      <w:u w:val="single"/>
    </w:rPr>
  </w:style>
  <w:style w:type="character" w:styleId="Strong">
    <w:name w:val="Strong"/>
    <w:basedOn w:val="DefaultParagraphFont"/>
    <w:uiPriority w:val="22"/>
    <w:qFormat/>
    <w:rsid w:val="00173C43"/>
    <w:rPr>
      <w:b/>
      <w:bCs/>
    </w:rPr>
  </w:style>
  <w:style w:type="character" w:styleId="Emphasis">
    <w:name w:val="Emphasis"/>
    <w:basedOn w:val="DefaultParagraphFont"/>
    <w:uiPriority w:val="20"/>
    <w:qFormat/>
    <w:rsid w:val="00173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bjgplife.com%2Fwp-content%2Fuploads%2F2021%2F10%2FHow-to-dispose-used-and-unwanted-inhalers.docx&amp;wdOrigin=BROWSELINK" TargetMode="External"/><Relationship Id="rId3" Type="http://schemas.openxmlformats.org/officeDocument/2006/relationships/settings" Target="settings.xml"/><Relationship Id="rId7" Type="http://schemas.openxmlformats.org/officeDocument/2006/relationships/hyperlink" Target="https://s40639.pcdn.co/wp-content/uploads/Canva-SALAMO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erpractice.co.uk/high-quality-and-low-carbon-asthma-care/projects/device-choice/" TargetMode="External"/><Relationship Id="rId11" Type="http://schemas.openxmlformats.org/officeDocument/2006/relationships/fontTable" Target="fontTable.xml"/><Relationship Id="rId5" Type="http://schemas.openxmlformats.org/officeDocument/2006/relationships/hyperlink" Target="https://s40639.pcdn.co/wp-content/uploads/Canva-SALAMOL.pdf" TargetMode="External"/><Relationship Id="rId10" Type="http://schemas.openxmlformats.org/officeDocument/2006/relationships/hyperlink" Target="https://www.greenerpractice.co.uk/high-quality-and-low-carbon-asthma-care/education/" TargetMode="External"/><Relationship Id="rId4" Type="http://schemas.openxmlformats.org/officeDocument/2006/relationships/webSettings" Target="webSettings.xml"/><Relationship Id="rId9" Type="http://schemas.openxmlformats.org/officeDocument/2006/relationships/hyperlink" Target="https://www.greenerpractice.co.uk/high-quality-and-low-carbon-asthma-care/projects/device-choice/5-ventolin-evohaler-pmdi-to-salamol-pmdi-or-airomir-pm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1</cp:revision>
  <dcterms:created xsi:type="dcterms:W3CDTF">2022-10-19T08:33:00Z</dcterms:created>
  <dcterms:modified xsi:type="dcterms:W3CDTF">2022-10-19T08:35:00Z</dcterms:modified>
</cp:coreProperties>
</file>